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CE" w:rsidRDefault="00186FCE" w:rsidP="00186FCE">
      <w:pPr>
        <w:numPr>
          <w:ilvl w:val="0"/>
          <w:numId w:val="1"/>
        </w:numPr>
        <w:rPr>
          <w:rFonts w:eastAsia="Times New Roman"/>
          <w:b/>
          <w:bCs/>
        </w:rPr>
      </w:pPr>
      <w:r>
        <w:rPr>
          <w:rFonts w:eastAsia="Times New Roman"/>
          <w:b/>
          <w:bCs/>
        </w:rPr>
        <w:t>Outpatients scheduled for contrast-enhanced MR examinations</w:t>
      </w:r>
    </w:p>
    <w:p w:rsidR="00186FCE" w:rsidRDefault="00186FCE" w:rsidP="00186FCE">
      <w:pPr>
        <w:ind w:left="360"/>
        <w:rPr>
          <w:b/>
          <w:bCs/>
        </w:rPr>
      </w:pPr>
    </w:p>
    <w:p w:rsidR="00186FCE" w:rsidRDefault="00186FCE" w:rsidP="00186FCE">
      <w:pPr>
        <w:ind w:left="360"/>
      </w:pPr>
      <w:r>
        <w:t>Before scheduling/injecting any outpatient where:</w:t>
      </w:r>
    </w:p>
    <w:p w:rsidR="00186FCE" w:rsidRDefault="00186FCE" w:rsidP="00186FCE">
      <w:pPr>
        <w:ind w:left="360"/>
      </w:pPr>
    </w:p>
    <w:p w:rsidR="00186FCE" w:rsidRDefault="00186FCE" w:rsidP="00186FCE">
      <w:pPr>
        <w:rPr>
          <w:rFonts w:ascii="Arial" w:hAnsi="Arial" w:cs="Arial"/>
          <w:b/>
          <w:bCs/>
          <w:color w:val="000000"/>
          <w:sz w:val="20"/>
          <w:szCs w:val="20"/>
        </w:rPr>
      </w:pPr>
      <w:r>
        <w:rPr>
          <w:rFonts w:ascii="Arial" w:hAnsi="Arial" w:cs="Arial"/>
          <w:b/>
          <w:bCs/>
          <w:color w:val="000000"/>
          <w:sz w:val="20"/>
          <w:szCs w:val="20"/>
        </w:rPr>
        <w:t>1. Patients 70 and over</w:t>
      </w:r>
    </w:p>
    <w:p w:rsidR="00186FCE" w:rsidRDefault="00186FCE" w:rsidP="00186FCE">
      <w:pPr>
        <w:rPr>
          <w:rFonts w:ascii="Arial" w:hAnsi="Arial" w:cs="Arial"/>
          <w:b/>
          <w:bCs/>
          <w:color w:val="000000"/>
          <w:sz w:val="20"/>
          <w:szCs w:val="20"/>
        </w:rPr>
      </w:pPr>
      <w:r>
        <w:rPr>
          <w:rFonts w:ascii="Arial" w:hAnsi="Arial" w:cs="Arial"/>
          <w:b/>
          <w:bCs/>
          <w:color w:val="000000"/>
          <w:sz w:val="20"/>
          <w:szCs w:val="20"/>
        </w:rPr>
        <w:t>2. History of diabetes</w:t>
      </w:r>
    </w:p>
    <w:p w:rsidR="00186FCE" w:rsidRDefault="00186FCE" w:rsidP="00186FCE">
      <w:pPr>
        <w:rPr>
          <w:rFonts w:ascii="Arial" w:hAnsi="Arial" w:cs="Arial"/>
          <w:b/>
          <w:bCs/>
          <w:color w:val="000000"/>
          <w:sz w:val="20"/>
          <w:szCs w:val="20"/>
        </w:rPr>
      </w:pPr>
      <w:r>
        <w:rPr>
          <w:rFonts w:ascii="Arial" w:hAnsi="Arial" w:cs="Arial"/>
          <w:b/>
          <w:bCs/>
          <w:color w:val="000000"/>
          <w:sz w:val="20"/>
          <w:szCs w:val="20"/>
        </w:rPr>
        <w:t>3. Hypertension requiring medication</w:t>
      </w:r>
    </w:p>
    <w:p w:rsidR="00186FCE" w:rsidRDefault="00186FCE" w:rsidP="00186FCE">
      <w:pPr>
        <w:rPr>
          <w:rFonts w:ascii="Arial" w:hAnsi="Arial" w:cs="Arial"/>
          <w:b/>
          <w:bCs/>
          <w:color w:val="000000"/>
          <w:sz w:val="20"/>
          <w:szCs w:val="20"/>
        </w:rPr>
      </w:pPr>
      <w:r>
        <w:rPr>
          <w:rFonts w:ascii="Arial" w:hAnsi="Arial" w:cs="Arial"/>
          <w:b/>
          <w:bCs/>
          <w:color w:val="000000"/>
          <w:sz w:val="20"/>
          <w:szCs w:val="20"/>
        </w:rPr>
        <w:t>4. ANY problems with kidneys (such as transplant, single kidney, kidney cancer, kidney surgery, dialysis)</w:t>
      </w:r>
    </w:p>
    <w:p w:rsidR="00186FCE" w:rsidRDefault="00186FCE" w:rsidP="00186FCE">
      <w:pPr>
        <w:ind w:left="360"/>
        <w:rPr>
          <w:rFonts w:ascii="Times New Roman" w:hAnsi="Times New Roman"/>
          <w:sz w:val="24"/>
          <w:szCs w:val="24"/>
        </w:rPr>
      </w:pPr>
    </w:p>
    <w:p w:rsidR="00186FCE" w:rsidRDefault="00186FCE" w:rsidP="00186FCE">
      <w:pPr>
        <w:ind w:left="360"/>
      </w:pPr>
      <w:r>
        <w:t>Obtain creatinine.  Creatinine should be ob</w:t>
      </w:r>
      <w:r w:rsidR="00E45C84">
        <w:t>tained within 3 months of the MR</w:t>
      </w:r>
      <w:r>
        <w:t xml:space="preserve"> exam. </w:t>
      </w:r>
    </w:p>
    <w:p w:rsidR="00186FCE" w:rsidRDefault="00186FCE" w:rsidP="00186FCE">
      <w:pPr>
        <w:ind w:left="360"/>
      </w:pPr>
    </w:p>
    <w:p w:rsidR="00186FCE" w:rsidRDefault="00316A2B" w:rsidP="00186FCE">
      <w:pPr>
        <w:ind w:left="360" w:firstLine="30"/>
        <w:rPr>
          <w:color w:val="000000"/>
        </w:rPr>
      </w:pPr>
      <w:r>
        <w:rPr>
          <w:color w:val="000000"/>
        </w:rPr>
        <w:t xml:space="preserve">Time Saver: </w:t>
      </w:r>
      <w:r w:rsidR="00186FCE">
        <w:rPr>
          <w:color w:val="000000"/>
        </w:rPr>
        <w:t>Technologist will only need to check estimated</w:t>
      </w:r>
      <w:r w:rsidR="00FE2523">
        <w:rPr>
          <w:color w:val="000000"/>
        </w:rPr>
        <w:t xml:space="preserve"> GFR (</w:t>
      </w:r>
      <w:proofErr w:type="spellStart"/>
      <w:r w:rsidR="00FE2523">
        <w:rPr>
          <w:color w:val="000000"/>
        </w:rPr>
        <w:t>eGR</w:t>
      </w:r>
      <w:proofErr w:type="spellEnd"/>
      <w:proofErr w:type="gramStart"/>
      <w:r w:rsidR="00FE2523">
        <w:rPr>
          <w:color w:val="000000"/>
        </w:rPr>
        <w:t>)  if</w:t>
      </w:r>
      <w:proofErr w:type="gramEnd"/>
      <w:r w:rsidR="00FE2523">
        <w:rPr>
          <w:color w:val="000000"/>
        </w:rPr>
        <w:t xml:space="preserve"> </w:t>
      </w:r>
      <w:proofErr w:type="spellStart"/>
      <w:r w:rsidR="00FE2523">
        <w:rPr>
          <w:color w:val="000000"/>
        </w:rPr>
        <w:t>creatinine</w:t>
      </w:r>
      <w:proofErr w:type="spellEnd"/>
      <w:r w:rsidR="00FE2523">
        <w:rPr>
          <w:color w:val="000000"/>
        </w:rPr>
        <w:t xml:space="preserve"> is 1.3</w:t>
      </w:r>
      <w:r w:rsidR="00186FCE">
        <w:rPr>
          <w:color w:val="000000"/>
        </w:rPr>
        <w:t xml:space="preserve"> or higher. (Creatinine values l</w:t>
      </w:r>
      <w:r w:rsidR="00FE2523">
        <w:rPr>
          <w:color w:val="000000"/>
        </w:rPr>
        <w:t>ess than 1.3 will result in an eGFR&gt;4</w:t>
      </w:r>
      <w:r w:rsidR="00186FCE">
        <w:rPr>
          <w:color w:val="000000"/>
        </w:rPr>
        <w:t>0 ml/min using the MDRD calculator, so no need to check!)</w:t>
      </w:r>
    </w:p>
    <w:p w:rsidR="00186FCE" w:rsidRDefault="00186FCE" w:rsidP="00E45C84"/>
    <w:p w:rsidR="00186FCE" w:rsidRDefault="00186FCE" w:rsidP="00186FCE">
      <w:pPr>
        <w:ind w:left="360"/>
      </w:pPr>
      <w:r>
        <w:t xml:space="preserve">Calculate eGFR. Use the calculator: </w:t>
      </w:r>
      <w:hyperlink r:id="rId5" w:history="1">
        <w:r>
          <w:rPr>
            <w:rStyle w:val="Hyperlink"/>
          </w:rPr>
          <w:t>http://mdrd.com</w:t>
        </w:r>
      </w:hyperlink>
      <w:r>
        <w:t xml:space="preserve"> or laboratory calculation based upon the MDRD method for calculating the eGFR.</w:t>
      </w:r>
    </w:p>
    <w:p w:rsidR="00186FCE" w:rsidRDefault="00186FCE" w:rsidP="00186FCE">
      <w:pPr>
        <w:ind w:left="360"/>
      </w:pPr>
    </w:p>
    <w:p w:rsidR="00186FCE" w:rsidRDefault="00186FCE" w:rsidP="00186FCE">
      <w:pPr>
        <w:ind w:left="360"/>
      </w:pPr>
      <w:r>
        <w:t>Technologists will not administer contrast if eGFR is less than 30ml/min or if the patient has acute kidney injury without first consulting with the radiologist.</w:t>
      </w:r>
      <w:r w:rsidR="00C83F51">
        <w:t xml:space="preserve"> </w:t>
      </w:r>
    </w:p>
    <w:p w:rsidR="00E45C84" w:rsidRDefault="00E45C84" w:rsidP="00186FCE">
      <w:pPr>
        <w:ind w:left="360"/>
      </w:pPr>
    </w:p>
    <w:p w:rsidR="00E45C84" w:rsidRDefault="00E45C84" w:rsidP="00186FCE">
      <w:pPr>
        <w:ind w:left="360"/>
        <w:rPr>
          <w:b/>
          <w:u w:val="single"/>
        </w:rPr>
      </w:pPr>
      <w:r w:rsidRPr="00E45C84">
        <w:rPr>
          <w:b/>
          <w:u w:val="single"/>
        </w:rPr>
        <w:t>Contrast Agents</w:t>
      </w:r>
    </w:p>
    <w:p w:rsidR="00E45C84" w:rsidRDefault="00E45C84" w:rsidP="00186FCE">
      <w:pPr>
        <w:ind w:left="360"/>
        <w:rPr>
          <w:b/>
          <w:u w:val="single"/>
        </w:rPr>
      </w:pPr>
    </w:p>
    <w:p w:rsidR="00AE0771" w:rsidRPr="00AE0771" w:rsidRDefault="00AE0771" w:rsidP="00AE0771">
      <w:pPr>
        <w:ind w:firstLine="360"/>
        <w:rPr>
          <w:color w:val="000000" w:themeColor="text1"/>
        </w:rPr>
      </w:pPr>
      <w:proofErr w:type="gramStart"/>
      <w:r w:rsidRPr="00AE0771">
        <w:rPr>
          <w:color w:val="000000" w:themeColor="text1"/>
        </w:rPr>
        <w:t>eGFR  4</w:t>
      </w:r>
      <w:r>
        <w:rPr>
          <w:color w:val="000000" w:themeColor="text1"/>
        </w:rPr>
        <w:t>0</w:t>
      </w:r>
      <w:proofErr w:type="gramEnd"/>
      <w:r>
        <w:rPr>
          <w:color w:val="000000" w:themeColor="text1"/>
        </w:rPr>
        <w:t xml:space="preserve"> and above     </w:t>
      </w:r>
      <w:proofErr w:type="spellStart"/>
      <w:r w:rsidRPr="00AE0771">
        <w:rPr>
          <w:color w:val="000000" w:themeColor="text1"/>
        </w:rPr>
        <w:t>Multihance</w:t>
      </w:r>
      <w:proofErr w:type="spellEnd"/>
      <w:r w:rsidRPr="00AE0771">
        <w:rPr>
          <w:color w:val="000000" w:themeColor="text1"/>
        </w:rPr>
        <w:t xml:space="preserve"> 0.07 </w:t>
      </w:r>
      <w:proofErr w:type="spellStart"/>
      <w:r w:rsidRPr="00AE0771">
        <w:rPr>
          <w:color w:val="000000" w:themeColor="text1"/>
        </w:rPr>
        <w:t>mMol</w:t>
      </w:r>
      <w:proofErr w:type="spellEnd"/>
      <w:r w:rsidRPr="00AE0771">
        <w:rPr>
          <w:color w:val="000000" w:themeColor="text1"/>
        </w:rPr>
        <w:t>/kg </w:t>
      </w:r>
    </w:p>
    <w:p w:rsidR="00AE0771" w:rsidRPr="00AE0771" w:rsidRDefault="00AE0771" w:rsidP="00AE0771">
      <w:pPr>
        <w:ind w:firstLine="360"/>
        <w:rPr>
          <w:color w:val="000000" w:themeColor="text1"/>
        </w:rPr>
      </w:pPr>
      <w:proofErr w:type="gramStart"/>
      <w:r>
        <w:rPr>
          <w:color w:val="000000" w:themeColor="text1"/>
        </w:rPr>
        <w:t>eGFR</w:t>
      </w:r>
      <w:proofErr w:type="gramEnd"/>
      <w:r>
        <w:rPr>
          <w:color w:val="000000" w:themeColor="text1"/>
        </w:rPr>
        <w:t xml:space="preserve"> 30-40                    </w:t>
      </w:r>
      <w:proofErr w:type="spellStart"/>
      <w:r w:rsidRPr="00AE0771">
        <w:rPr>
          <w:color w:val="000000" w:themeColor="text1"/>
        </w:rPr>
        <w:t>Dotarem</w:t>
      </w:r>
      <w:proofErr w:type="spellEnd"/>
      <w:r w:rsidRPr="00AE0771">
        <w:rPr>
          <w:color w:val="000000" w:themeColor="text1"/>
        </w:rPr>
        <w:t xml:space="preserve"> 0.1 </w:t>
      </w:r>
      <w:proofErr w:type="spellStart"/>
      <w:r w:rsidRPr="00AE0771">
        <w:rPr>
          <w:color w:val="000000" w:themeColor="text1"/>
        </w:rPr>
        <w:t>mMol</w:t>
      </w:r>
      <w:proofErr w:type="spellEnd"/>
      <w:r w:rsidRPr="00AE0771">
        <w:rPr>
          <w:color w:val="000000" w:themeColor="text1"/>
        </w:rPr>
        <w:t>/kg</w:t>
      </w:r>
    </w:p>
    <w:p w:rsidR="00AE0771" w:rsidRPr="00AE0771" w:rsidRDefault="00AE0771" w:rsidP="00AE0771">
      <w:pPr>
        <w:ind w:firstLine="360"/>
        <w:rPr>
          <w:color w:val="000000" w:themeColor="text1"/>
        </w:rPr>
      </w:pPr>
      <w:r w:rsidRPr="00AE0771">
        <w:rPr>
          <w:color w:val="000000" w:themeColor="text1"/>
        </w:rPr>
        <w:t xml:space="preserve">15&gt;eGFR&lt;30   </w:t>
      </w:r>
      <w:r>
        <w:rPr>
          <w:color w:val="000000" w:themeColor="text1"/>
        </w:rPr>
        <w:t>               </w:t>
      </w:r>
      <w:r w:rsidRPr="00AE0771">
        <w:rPr>
          <w:color w:val="000000" w:themeColor="text1"/>
        </w:rPr>
        <w:t xml:space="preserve">Peer-to-peer consult, informed consent, full dose </w:t>
      </w:r>
      <w:proofErr w:type="spellStart"/>
      <w:r w:rsidRPr="00AE0771">
        <w:rPr>
          <w:color w:val="000000" w:themeColor="text1"/>
        </w:rPr>
        <w:t>Dotarem</w:t>
      </w:r>
      <w:proofErr w:type="spellEnd"/>
      <w:r>
        <w:rPr>
          <w:color w:val="000000" w:themeColor="text1"/>
        </w:rPr>
        <w:t xml:space="preserve"> </w:t>
      </w:r>
      <w:r w:rsidRPr="00AE0771">
        <w:rPr>
          <w:color w:val="000000" w:themeColor="text1"/>
        </w:rPr>
        <w:t xml:space="preserve">0.1 </w:t>
      </w:r>
      <w:proofErr w:type="spellStart"/>
      <w:r w:rsidRPr="00AE0771">
        <w:rPr>
          <w:color w:val="000000" w:themeColor="text1"/>
        </w:rPr>
        <w:t>mMol</w:t>
      </w:r>
      <w:proofErr w:type="spellEnd"/>
      <w:r w:rsidRPr="00AE0771">
        <w:rPr>
          <w:color w:val="000000" w:themeColor="text1"/>
        </w:rPr>
        <w:t>/kg</w:t>
      </w:r>
    </w:p>
    <w:p w:rsidR="00AE0771" w:rsidRPr="00AE0771" w:rsidRDefault="00AE0771" w:rsidP="00AE0771">
      <w:pPr>
        <w:ind w:left="360"/>
        <w:rPr>
          <w:color w:val="000000" w:themeColor="text1"/>
        </w:rPr>
      </w:pPr>
      <w:proofErr w:type="gramStart"/>
      <w:r w:rsidRPr="00AE0771">
        <w:rPr>
          <w:color w:val="000000" w:themeColor="text1"/>
        </w:rPr>
        <w:t>eGFR</w:t>
      </w:r>
      <w:proofErr w:type="gramEnd"/>
      <w:r w:rsidRPr="00AE0771">
        <w:rPr>
          <w:color w:val="000000" w:themeColor="text1"/>
        </w:rPr>
        <w:t xml:space="preserve"> 15 o</w:t>
      </w:r>
      <w:r>
        <w:rPr>
          <w:color w:val="000000" w:themeColor="text1"/>
        </w:rPr>
        <w:t>r lower          </w:t>
      </w:r>
      <w:r w:rsidRPr="00AE0771">
        <w:rPr>
          <w:color w:val="000000" w:themeColor="text1"/>
        </w:rPr>
        <w:t xml:space="preserve">Peer-to-peer consult, informed consent, nephrology </w:t>
      </w:r>
      <w:r>
        <w:rPr>
          <w:color w:val="000000" w:themeColor="text1"/>
        </w:rPr>
        <w:t xml:space="preserve">consult for </w:t>
      </w:r>
      <w:r w:rsidRPr="00AE0771">
        <w:rPr>
          <w:color w:val="000000" w:themeColor="text1"/>
        </w:rPr>
        <w:t xml:space="preserve">dialysis, full </w:t>
      </w:r>
      <w:r>
        <w:rPr>
          <w:color w:val="000000" w:themeColor="text1"/>
        </w:rPr>
        <w:t xml:space="preserve">                                                       </w:t>
      </w:r>
    </w:p>
    <w:p w:rsidR="00E45C84" w:rsidRDefault="00AE0771" w:rsidP="00E45C84">
      <w:pPr>
        <w:rPr>
          <w:rFonts w:asciiTheme="minorHAnsi" w:hAnsiTheme="minorHAnsi"/>
          <w:color w:val="000000" w:themeColor="text1"/>
        </w:rPr>
      </w:pPr>
      <w:r>
        <w:rPr>
          <w:rFonts w:asciiTheme="minorHAnsi" w:hAnsiTheme="minorHAnsi"/>
          <w:color w:val="000000" w:themeColor="text1"/>
        </w:rPr>
        <w:t xml:space="preserve">                                                </w:t>
      </w:r>
      <w:proofErr w:type="gramStart"/>
      <w:r>
        <w:rPr>
          <w:rFonts w:asciiTheme="minorHAnsi" w:hAnsiTheme="minorHAnsi"/>
          <w:color w:val="000000" w:themeColor="text1"/>
        </w:rPr>
        <w:t>dose</w:t>
      </w:r>
      <w:proofErr w:type="gramEnd"/>
      <w:r>
        <w:rPr>
          <w:rFonts w:asciiTheme="minorHAnsi" w:hAnsiTheme="minorHAnsi"/>
          <w:color w:val="000000" w:themeColor="text1"/>
        </w:rPr>
        <w:t xml:space="preserve"> </w:t>
      </w:r>
      <w:proofErr w:type="spellStart"/>
      <w:r>
        <w:rPr>
          <w:rFonts w:asciiTheme="minorHAnsi" w:hAnsiTheme="minorHAnsi"/>
          <w:color w:val="000000" w:themeColor="text1"/>
        </w:rPr>
        <w:t>Dotarem</w:t>
      </w:r>
      <w:proofErr w:type="spellEnd"/>
      <w:r>
        <w:rPr>
          <w:rFonts w:asciiTheme="minorHAnsi" w:hAnsiTheme="minorHAnsi"/>
          <w:color w:val="000000" w:themeColor="text1"/>
        </w:rPr>
        <w:t xml:space="preserve"> </w:t>
      </w:r>
      <w:r w:rsidRPr="00AE0771">
        <w:rPr>
          <w:color w:val="000000" w:themeColor="text1"/>
        </w:rPr>
        <w:t xml:space="preserve">0.1 </w:t>
      </w:r>
      <w:proofErr w:type="spellStart"/>
      <w:r w:rsidRPr="00AE0771">
        <w:rPr>
          <w:color w:val="000000" w:themeColor="text1"/>
        </w:rPr>
        <w:t>mMol</w:t>
      </w:r>
      <w:proofErr w:type="spellEnd"/>
      <w:r w:rsidRPr="00AE0771">
        <w:rPr>
          <w:color w:val="000000" w:themeColor="text1"/>
        </w:rPr>
        <w:t>/kg</w:t>
      </w:r>
    </w:p>
    <w:p w:rsidR="00AE0771" w:rsidRDefault="00AE0771" w:rsidP="00E45C84">
      <w:pPr>
        <w:rPr>
          <w:rFonts w:asciiTheme="minorHAnsi" w:hAnsiTheme="minorHAnsi"/>
          <w:color w:val="000000" w:themeColor="text1"/>
        </w:rPr>
      </w:pPr>
    </w:p>
    <w:p w:rsidR="00AE0771" w:rsidRDefault="00AE0771" w:rsidP="00E45C84">
      <w:pPr>
        <w:rPr>
          <w:rFonts w:asciiTheme="minorHAnsi" w:hAnsiTheme="minorHAnsi"/>
          <w:color w:val="000000" w:themeColor="text1"/>
        </w:rPr>
      </w:pPr>
    </w:p>
    <w:p w:rsidR="00E45C84" w:rsidRDefault="00E45C84" w:rsidP="00E45C84">
      <w:pPr>
        <w:rPr>
          <w:rFonts w:asciiTheme="minorHAnsi" w:hAnsiTheme="minorHAnsi"/>
          <w:color w:val="000000" w:themeColor="text1"/>
        </w:rPr>
      </w:pPr>
      <w:r>
        <w:rPr>
          <w:rFonts w:asciiTheme="minorHAnsi" w:hAnsiTheme="minorHAnsi"/>
          <w:color w:val="000000" w:themeColor="text1"/>
        </w:rPr>
        <w:t xml:space="preserve">Note: If patient has history of allergic-like reaction to </w:t>
      </w:r>
      <w:proofErr w:type="spellStart"/>
      <w:r>
        <w:rPr>
          <w:rFonts w:asciiTheme="minorHAnsi" w:hAnsiTheme="minorHAnsi"/>
          <w:color w:val="000000" w:themeColor="text1"/>
        </w:rPr>
        <w:t>Dotarem</w:t>
      </w:r>
      <w:proofErr w:type="spellEnd"/>
      <w:r>
        <w:rPr>
          <w:rFonts w:asciiTheme="minorHAnsi" w:hAnsiTheme="minorHAnsi"/>
          <w:color w:val="000000" w:themeColor="text1"/>
        </w:rPr>
        <w:t xml:space="preserve">, replace with 70% single dose </w:t>
      </w:r>
      <w:proofErr w:type="spellStart"/>
      <w:r>
        <w:rPr>
          <w:rFonts w:asciiTheme="minorHAnsi" w:hAnsiTheme="minorHAnsi"/>
          <w:color w:val="000000" w:themeColor="text1"/>
        </w:rPr>
        <w:t>MultiHance</w:t>
      </w:r>
      <w:proofErr w:type="spellEnd"/>
    </w:p>
    <w:p w:rsidR="00E45C84" w:rsidRDefault="00E45C84" w:rsidP="00E45C84">
      <w:pPr>
        <w:rPr>
          <w:rFonts w:asciiTheme="minorHAnsi" w:hAnsiTheme="minorHAnsi"/>
          <w:color w:val="000000" w:themeColor="text1"/>
        </w:rPr>
      </w:pPr>
    </w:p>
    <w:p w:rsidR="00E45C84" w:rsidRDefault="00E45C84" w:rsidP="00E45C84">
      <w:pPr>
        <w:rPr>
          <w:rFonts w:asciiTheme="minorHAnsi" w:hAnsiTheme="minorHAnsi"/>
          <w:color w:val="000000" w:themeColor="text1"/>
        </w:rPr>
      </w:pPr>
    </w:p>
    <w:p w:rsidR="00E45C84" w:rsidRDefault="00E45C84" w:rsidP="00E45C84">
      <w:pPr>
        <w:ind w:left="360"/>
        <w:rPr>
          <w:b/>
          <w:bCs/>
        </w:rPr>
      </w:pPr>
      <w:r>
        <w:rPr>
          <w:b/>
          <w:bCs/>
        </w:rPr>
        <w:t>Additional guidelines:</w:t>
      </w:r>
    </w:p>
    <w:p w:rsidR="00E45C84" w:rsidRDefault="00E45C84" w:rsidP="00E45C84">
      <w:pPr>
        <w:ind w:left="360"/>
        <w:rPr>
          <w:b/>
          <w:bCs/>
        </w:rPr>
      </w:pPr>
    </w:p>
    <w:p w:rsidR="00E45C84" w:rsidRDefault="00E45C84" w:rsidP="00E45C84">
      <w:pPr>
        <w:ind w:left="360" w:firstLine="360"/>
      </w:pPr>
      <w:r>
        <w:t xml:space="preserve">These guidelines apply only to patients with chronic renal failure, and not to patients with acute kidney injury. No serum </w:t>
      </w:r>
      <w:proofErr w:type="spellStart"/>
      <w:r>
        <w:t>creatinine</w:t>
      </w:r>
      <w:proofErr w:type="spellEnd"/>
      <w:r>
        <w:t xml:space="preserve"> or eGFR threshold is adequate to stratify risk for patients with acute kidney injury because serum creatinine in this setting is unreliable. </w:t>
      </w:r>
    </w:p>
    <w:p w:rsidR="00E45C84" w:rsidRPr="00E45C84" w:rsidRDefault="00E45C84" w:rsidP="00E45C84">
      <w:pPr>
        <w:rPr>
          <w:rFonts w:asciiTheme="minorHAnsi" w:hAnsiTheme="minorHAnsi"/>
          <w:color w:val="000000" w:themeColor="text1"/>
        </w:rPr>
      </w:pPr>
    </w:p>
    <w:p w:rsidR="00E45C84" w:rsidRPr="00E45C84" w:rsidRDefault="00E45C84" w:rsidP="00186FCE">
      <w:pPr>
        <w:ind w:left="360"/>
        <w:rPr>
          <w:b/>
          <w:u w:val="single"/>
        </w:rPr>
      </w:pPr>
    </w:p>
    <w:p w:rsidR="00186FCE" w:rsidRDefault="00186FCE" w:rsidP="00E45C84"/>
    <w:p w:rsidR="00E45C84" w:rsidRDefault="00E45C84" w:rsidP="00E45C84"/>
    <w:p w:rsidR="00E45C84" w:rsidRDefault="00E45C84" w:rsidP="00E45C84"/>
    <w:p w:rsidR="00E45C84" w:rsidRDefault="00E45C84" w:rsidP="00E45C84"/>
    <w:p w:rsidR="00E45C84" w:rsidRDefault="00E45C84" w:rsidP="00E45C84"/>
    <w:p w:rsidR="00E45C84" w:rsidRDefault="00E45C84" w:rsidP="00E45C84"/>
    <w:p w:rsidR="00E45C84" w:rsidRDefault="00E45C84" w:rsidP="00E45C84"/>
    <w:p w:rsidR="00186FCE" w:rsidRDefault="00186FCE" w:rsidP="00186FCE">
      <w:pPr>
        <w:numPr>
          <w:ilvl w:val="0"/>
          <w:numId w:val="1"/>
        </w:numPr>
        <w:rPr>
          <w:rFonts w:eastAsia="Times New Roman"/>
          <w:b/>
          <w:bCs/>
        </w:rPr>
      </w:pPr>
      <w:r>
        <w:rPr>
          <w:rFonts w:eastAsia="Times New Roman"/>
          <w:b/>
          <w:bCs/>
        </w:rPr>
        <w:lastRenderedPageBreak/>
        <w:t>Inpatients sc</w:t>
      </w:r>
      <w:r w:rsidR="006C7624">
        <w:rPr>
          <w:rFonts w:eastAsia="Times New Roman"/>
          <w:b/>
          <w:bCs/>
        </w:rPr>
        <w:t>heduled for contrast-enhanced MR</w:t>
      </w:r>
      <w:r>
        <w:rPr>
          <w:rFonts w:eastAsia="Times New Roman"/>
          <w:b/>
          <w:bCs/>
        </w:rPr>
        <w:t xml:space="preserve"> examinations</w:t>
      </w:r>
    </w:p>
    <w:p w:rsidR="00186FCE" w:rsidRDefault="00186FCE" w:rsidP="00186FCE"/>
    <w:p w:rsidR="00186FCE" w:rsidRDefault="00186FCE" w:rsidP="00186FCE">
      <w:pPr>
        <w:ind w:left="360"/>
      </w:pPr>
    </w:p>
    <w:p w:rsidR="00186FCE" w:rsidRDefault="00186FCE" w:rsidP="00186FCE">
      <w:pPr>
        <w:ind w:left="360"/>
      </w:pPr>
      <w:r>
        <w:t>Obtain creatinine for all inpatients. Creatinine should b</w:t>
      </w:r>
      <w:r w:rsidR="00E45C84">
        <w:t>e obtained within 48 hours of MR</w:t>
      </w:r>
      <w:r>
        <w:t xml:space="preserve"> exam. </w:t>
      </w:r>
    </w:p>
    <w:p w:rsidR="00186FCE" w:rsidRDefault="00186FCE" w:rsidP="00186FCE">
      <w:pPr>
        <w:ind w:left="360"/>
      </w:pPr>
    </w:p>
    <w:p w:rsidR="00186FCE" w:rsidRDefault="00316A2B" w:rsidP="00186FCE">
      <w:pPr>
        <w:ind w:left="360" w:firstLine="30"/>
        <w:rPr>
          <w:color w:val="000000"/>
        </w:rPr>
      </w:pPr>
      <w:r>
        <w:rPr>
          <w:color w:val="000000"/>
        </w:rPr>
        <w:t xml:space="preserve">Time Saver: </w:t>
      </w:r>
      <w:r w:rsidR="00186FCE">
        <w:rPr>
          <w:color w:val="000000"/>
        </w:rPr>
        <w:t xml:space="preserve">Technologist will only need to check estimated </w:t>
      </w:r>
      <w:r w:rsidR="00FE2523">
        <w:rPr>
          <w:color w:val="000000"/>
        </w:rPr>
        <w:t>GFR (</w:t>
      </w:r>
      <w:proofErr w:type="spellStart"/>
      <w:r w:rsidR="00FE2523">
        <w:rPr>
          <w:color w:val="000000"/>
        </w:rPr>
        <w:t>eGR</w:t>
      </w:r>
      <w:proofErr w:type="spellEnd"/>
      <w:proofErr w:type="gramStart"/>
      <w:r w:rsidR="00FE2523">
        <w:rPr>
          <w:color w:val="000000"/>
        </w:rPr>
        <w:t>)  if</w:t>
      </w:r>
      <w:proofErr w:type="gramEnd"/>
      <w:r w:rsidR="00FE2523">
        <w:rPr>
          <w:color w:val="000000"/>
        </w:rPr>
        <w:t xml:space="preserve"> </w:t>
      </w:r>
      <w:proofErr w:type="spellStart"/>
      <w:r w:rsidR="00FE2523">
        <w:rPr>
          <w:color w:val="000000"/>
        </w:rPr>
        <w:t>creatinine</w:t>
      </w:r>
      <w:proofErr w:type="spellEnd"/>
      <w:r w:rsidR="00FE2523">
        <w:rPr>
          <w:color w:val="000000"/>
        </w:rPr>
        <w:t xml:space="preserve"> is 1.3</w:t>
      </w:r>
      <w:r w:rsidR="00186FCE">
        <w:rPr>
          <w:color w:val="000000"/>
        </w:rPr>
        <w:t xml:space="preserve"> or higher. (Creatinine values less t</w:t>
      </w:r>
      <w:r w:rsidR="00FE2523">
        <w:rPr>
          <w:color w:val="000000"/>
        </w:rPr>
        <w:t>han 1.3 will result in an eGFR&gt;4</w:t>
      </w:r>
      <w:r w:rsidR="00186FCE">
        <w:rPr>
          <w:color w:val="000000"/>
        </w:rPr>
        <w:t>0 ml/min using the MDRD calculator, so no need to check!)</w:t>
      </w:r>
    </w:p>
    <w:p w:rsidR="00186FCE" w:rsidRDefault="00186FCE" w:rsidP="00186FCE">
      <w:pPr>
        <w:ind w:left="360"/>
      </w:pPr>
    </w:p>
    <w:p w:rsidR="00186FCE" w:rsidRDefault="00186FCE" w:rsidP="00186FCE">
      <w:pPr>
        <w:ind w:left="360"/>
      </w:pPr>
      <w:r>
        <w:t xml:space="preserve">Calculate eGFR. Use the calculator: </w:t>
      </w:r>
      <w:hyperlink r:id="rId6" w:history="1">
        <w:r>
          <w:rPr>
            <w:rStyle w:val="Hyperlink"/>
          </w:rPr>
          <w:t>http://mdrd.com</w:t>
        </w:r>
      </w:hyperlink>
      <w:r>
        <w:t xml:space="preserve"> or laboratory calculation based upon the MDRD method for calculating the eGFR.</w:t>
      </w:r>
    </w:p>
    <w:p w:rsidR="00186FCE" w:rsidRDefault="00186FCE" w:rsidP="00186FCE"/>
    <w:p w:rsidR="00186FCE" w:rsidRDefault="00186FCE" w:rsidP="00186FCE">
      <w:pPr>
        <w:ind w:left="360"/>
      </w:pPr>
      <w:r>
        <w:t>Technologists will not administer contrast if eGFR is less than 30ml/min or if the patient has acute kidney injury without first consulting with the radiologist.</w:t>
      </w:r>
    </w:p>
    <w:p w:rsidR="00186FCE" w:rsidRDefault="00186FCE" w:rsidP="00186FCE">
      <w:pPr>
        <w:ind w:left="360"/>
      </w:pPr>
    </w:p>
    <w:p w:rsidR="00133B56" w:rsidRDefault="00133B56" w:rsidP="00133B56">
      <w:pPr>
        <w:ind w:left="360"/>
        <w:rPr>
          <w:b/>
          <w:u w:val="single"/>
        </w:rPr>
      </w:pPr>
      <w:r w:rsidRPr="00E45C84">
        <w:rPr>
          <w:b/>
          <w:u w:val="single"/>
        </w:rPr>
        <w:t>Contrast Agents</w:t>
      </w:r>
    </w:p>
    <w:p w:rsidR="00133B56" w:rsidRDefault="00133B56" w:rsidP="00133B56">
      <w:pPr>
        <w:ind w:left="360"/>
        <w:rPr>
          <w:b/>
          <w:u w:val="single"/>
        </w:rPr>
      </w:pPr>
    </w:p>
    <w:p w:rsidR="00651CAE" w:rsidRPr="00AE0771" w:rsidRDefault="00651CAE" w:rsidP="00651CAE">
      <w:pPr>
        <w:ind w:firstLine="360"/>
        <w:rPr>
          <w:color w:val="000000" w:themeColor="text1"/>
        </w:rPr>
      </w:pPr>
      <w:proofErr w:type="gramStart"/>
      <w:r w:rsidRPr="00AE0771">
        <w:rPr>
          <w:color w:val="000000" w:themeColor="text1"/>
        </w:rPr>
        <w:t>eGFR  4</w:t>
      </w:r>
      <w:r>
        <w:rPr>
          <w:color w:val="000000" w:themeColor="text1"/>
        </w:rPr>
        <w:t>0</w:t>
      </w:r>
      <w:proofErr w:type="gramEnd"/>
      <w:r>
        <w:rPr>
          <w:color w:val="000000" w:themeColor="text1"/>
        </w:rPr>
        <w:t xml:space="preserve"> and above     </w:t>
      </w:r>
      <w:proofErr w:type="spellStart"/>
      <w:r w:rsidRPr="00AE0771">
        <w:rPr>
          <w:color w:val="000000" w:themeColor="text1"/>
        </w:rPr>
        <w:t>Multihance</w:t>
      </w:r>
      <w:proofErr w:type="spellEnd"/>
      <w:r w:rsidRPr="00AE0771">
        <w:rPr>
          <w:color w:val="000000" w:themeColor="text1"/>
        </w:rPr>
        <w:t xml:space="preserve"> 0.07 </w:t>
      </w:r>
      <w:proofErr w:type="spellStart"/>
      <w:r w:rsidRPr="00AE0771">
        <w:rPr>
          <w:color w:val="000000" w:themeColor="text1"/>
        </w:rPr>
        <w:t>mMol</w:t>
      </w:r>
      <w:proofErr w:type="spellEnd"/>
      <w:r w:rsidRPr="00AE0771">
        <w:rPr>
          <w:color w:val="000000" w:themeColor="text1"/>
        </w:rPr>
        <w:t>/kg </w:t>
      </w:r>
    </w:p>
    <w:p w:rsidR="00651CAE" w:rsidRPr="00AE0771" w:rsidRDefault="00651CAE" w:rsidP="00651CAE">
      <w:pPr>
        <w:ind w:firstLine="360"/>
        <w:rPr>
          <w:color w:val="000000" w:themeColor="text1"/>
        </w:rPr>
      </w:pPr>
      <w:proofErr w:type="gramStart"/>
      <w:r>
        <w:rPr>
          <w:color w:val="000000" w:themeColor="text1"/>
        </w:rPr>
        <w:t>eGFR</w:t>
      </w:r>
      <w:proofErr w:type="gramEnd"/>
      <w:r>
        <w:rPr>
          <w:color w:val="000000" w:themeColor="text1"/>
        </w:rPr>
        <w:t xml:space="preserve"> 30-40                    </w:t>
      </w:r>
      <w:proofErr w:type="spellStart"/>
      <w:r w:rsidRPr="00AE0771">
        <w:rPr>
          <w:color w:val="000000" w:themeColor="text1"/>
        </w:rPr>
        <w:t>Dotarem</w:t>
      </w:r>
      <w:proofErr w:type="spellEnd"/>
      <w:r w:rsidRPr="00AE0771">
        <w:rPr>
          <w:color w:val="000000" w:themeColor="text1"/>
        </w:rPr>
        <w:t xml:space="preserve"> 0.1 </w:t>
      </w:r>
      <w:proofErr w:type="spellStart"/>
      <w:r w:rsidRPr="00AE0771">
        <w:rPr>
          <w:color w:val="000000" w:themeColor="text1"/>
        </w:rPr>
        <w:t>mMol</w:t>
      </w:r>
      <w:proofErr w:type="spellEnd"/>
      <w:r w:rsidRPr="00AE0771">
        <w:rPr>
          <w:color w:val="000000" w:themeColor="text1"/>
        </w:rPr>
        <w:t>/kg</w:t>
      </w:r>
    </w:p>
    <w:p w:rsidR="00651CAE" w:rsidRPr="00AE0771" w:rsidRDefault="00651CAE" w:rsidP="00651CAE">
      <w:pPr>
        <w:ind w:firstLine="360"/>
        <w:rPr>
          <w:color w:val="000000" w:themeColor="text1"/>
        </w:rPr>
      </w:pPr>
      <w:r w:rsidRPr="00AE0771">
        <w:rPr>
          <w:color w:val="000000" w:themeColor="text1"/>
        </w:rPr>
        <w:t xml:space="preserve">15&gt;eGFR&lt;30   </w:t>
      </w:r>
      <w:r>
        <w:rPr>
          <w:color w:val="000000" w:themeColor="text1"/>
        </w:rPr>
        <w:t>               </w:t>
      </w:r>
      <w:r w:rsidRPr="00AE0771">
        <w:rPr>
          <w:color w:val="000000" w:themeColor="text1"/>
        </w:rPr>
        <w:t xml:space="preserve">Peer-to-peer consult, informed consent, full dose </w:t>
      </w:r>
      <w:proofErr w:type="spellStart"/>
      <w:r w:rsidRPr="00AE0771">
        <w:rPr>
          <w:color w:val="000000" w:themeColor="text1"/>
        </w:rPr>
        <w:t>Dotarem</w:t>
      </w:r>
      <w:proofErr w:type="spellEnd"/>
      <w:r>
        <w:rPr>
          <w:color w:val="000000" w:themeColor="text1"/>
        </w:rPr>
        <w:t xml:space="preserve"> </w:t>
      </w:r>
      <w:r w:rsidRPr="00AE0771">
        <w:rPr>
          <w:color w:val="000000" w:themeColor="text1"/>
        </w:rPr>
        <w:t xml:space="preserve">0.1 </w:t>
      </w:r>
      <w:proofErr w:type="spellStart"/>
      <w:r w:rsidRPr="00AE0771">
        <w:rPr>
          <w:color w:val="000000" w:themeColor="text1"/>
        </w:rPr>
        <w:t>mMol</w:t>
      </w:r>
      <w:proofErr w:type="spellEnd"/>
      <w:r w:rsidRPr="00AE0771">
        <w:rPr>
          <w:color w:val="000000" w:themeColor="text1"/>
        </w:rPr>
        <w:t>/kg</w:t>
      </w:r>
    </w:p>
    <w:p w:rsidR="00651CAE" w:rsidRPr="00AE0771" w:rsidRDefault="00651CAE" w:rsidP="00651CAE">
      <w:pPr>
        <w:ind w:left="360"/>
        <w:rPr>
          <w:color w:val="000000" w:themeColor="text1"/>
        </w:rPr>
      </w:pPr>
      <w:proofErr w:type="gramStart"/>
      <w:r w:rsidRPr="00AE0771">
        <w:rPr>
          <w:color w:val="000000" w:themeColor="text1"/>
        </w:rPr>
        <w:t>eGFR</w:t>
      </w:r>
      <w:proofErr w:type="gramEnd"/>
      <w:r w:rsidRPr="00AE0771">
        <w:rPr>
          <w:color w:val="000000" w:themeColor="text1"/>
        </w:rPr>
        <w:t xml:space="preserve"> 15 o</w:t>
      </w:r>
      <w:r>
        <w:rPr>
          <w:color w:val="000000" w:themeColor="text1"/>
        </w:rPr>
        <w:t>r lower          </w:t>
      </w:r>
      <w:r w:rsidRPr="00AE0771">
        <w:rPr>
          <w:color w:val="000000" w:themeColor="text1"/>
        </w:rPr>
        <w:t xml:space="preserve">Peer-to-peer consult, informed consent, nephrology </w:t>
      </w:r>
      <w:r>
        <w:rPr>
          <w:color w:val="000000" w:themeColor="text1"/>
        </w:rPr>
        <w:t xml:space="preserve">consult for </w:t>
      </w:r>
      <w:r w:rsidRPr="00AE0771">
        <w:rPr>
          <w:color w:val="000000" w:themeColor="text1"/>
        </w:rPr>
        <w:t xml:space="preserve">dialysis, full </w:t>
      </w:r>
      <w:r>
        <w:rPr>
          <w:color w:val="000000" w:themeColor="text1"/>
        </w:rPr>
        <w:t xml:space="preserve">                                                       </w:t>
      </w:r>
    </w:p>
    <w:p w:rsidR="00651CAE" w:rsidRDefault="00651CAE" w:rsidP="00651CAE">
      <w:pPr>
        <w:rPr>
          <w:rFonts w:asciiTheme="minorHAnsi" w:hAnsiTheme="minorHAnsi"/>
          <w:color w:val="000000" w:themeColor="text1"/>
        </w:rPr>
      </w:pPr>
      <w:r>
        <w:rPr>
          <w:rFonts w:asciiTheme="minorHAnsi" w:hAnsiTheme="minorHAnsi"/>
          <w:color w:val="000000" w:themeColor="text1"/>
        </w:rPr>
        <w:t xml:space="preserve">                                                </w:t>
      </w:r>
      <w:proofErr w:type="gramStart"/>
      <w:r>
        <w:rPr>
          <w:rFonts w:asciiTheme="minorHAnsi" w:hAnsiTheme="minorHAnsi"/>
          <w:color w:val="000000" w:themeColor="text1"/>
        </w:rPr>
        <w:t>dose</w:t>
      </w:r>
      <w:proofErr w:type="gramEnd"/>
      <w:r>
        <w:rPr>
          <w:rFonts w:asciiTheme="minorHAnsi" w:hAnsiTheme="minorHAnsi"/>
          <w:color w:val="000000" w:themeColor="text1"/>
        </w:rPr>
        <w:t xml:space="preserve"> </w:t>
      </w:r>
      <w:proofErr w:type="spellStart"/>
      <w:r>
        <w:rPr>
          <w:rFonts w:asciiTheme="minorHAnsi" w:hAnsiTheme="minorHAnsi"/>
          <w:color w:val="000000" w:themeColor="text1"/>
        </w:rPr>
        <w:t>Dotarem</w:t>
      </w:r>
      <w:proofErr w:type="spellEnd"/>
      <w:r>
        <w:rPr>
          <w:rFonts w:asciiTheme="minorHAnsi" w:hAnsiTheme="minorHAnsi"/>
          <w:color w:val="000000" w:themeColor="text1"/>
        </w:rPr>
        <w:t xml:space="preserve"> </w:t>
      </w:r>
      <w:r w:rsidRPr="00AE0771">
        <w:rPr>
          <w:color w:val="000000" w:themeColor="text1"/>
        </w:rPr>
        <w:t xml:space="preserve">0.1 </w:t>
      </w:r>
      <w:proofErr w:type="spellStart"/>
      <w:r w:rsidRPr="00AE0771">
        <w:rPr>
          <w:color w:val="000000" w:themeColor="text1"/>
        </w:rPr>
        <w:t>mMol</w:t>
      </w:r>
      <w:proofErr w:type="spellEnd"/>
      <w:r w:rsidRPr="00AE0771">
        <w:rPr>
          <w:color w:val="000000" w:themeColor="text1"/>
        </w:rPr>
        <w:t>/kg</w:t>
      </w:r>
    </w:p>
    <w:p w:rsidR="00E45C84" w:rsidRDefault="00E45C84" w:rsidP="00651CAE">
      <w:pPr>
        <w:rPr>
          <w:rFonts w:asciiTheme="minorHAnsi" w:hAnsiTheme="minorHAnsi"/>
          <w:color w:val="000000" w:themeColor="text1"/>
        </w:rPr>
      </w:pPr>
    </w:p>
    <w:p w:rsidR="00E45C84" w:rsidRPr="00E45C84" w:rsidRDefault="00E45C84" w:rsidP="00E45C84">
      <w:pPr>
        <w:rPr>
          <w:rFonts w:asciiTheme="minorHAnsi" w:hAnsiTheme="minorHAnsi"/>
          <w:color w:val="000000" w:themeColor="text1"/>
        </w:rPr>
      </w:pPr>
      <w:r>
        <w:rPr>
          <w:rFonts w:asciiTheme="minorHAnsi" w:hAnsiTheme="minorHAnsi"/>
          <w:color w:val="000000" w:themeColor="text1"/>
        </w:rPr>
        <w:t xml:space="preserve">Note: If patient has history of allergic-like reaction to </w:t>
      </w:r>
      <w:proofErr w:type="spellStart"/>
      <w:r>
        <w:rPr>
          <w:rFonts w:asciiTheme="minorHAnsi" w:hAnsiTheme="minorHAnsi"/>
          <w:color w:val="000000" w:themeColor="text1"/>
        </w:rPr>
        <w:t>Dotarem</w:t>
      </w:r>
      <w:proofErr w:type="spellEnd"/>
      <w:r>
        <w:rPr>
          <w:rFonts w:asciiTheme="minorHAnsi" w:hAnsiTheme="minorHAnsi"/>
          <w:color w:val="000000" w:themeColor="text1"/>
        </w:rPr>
        <w:t xml:space="preserve">, replace with 70% single dose </w:t>
      </w:r>
      <w:proofErr w:type="spellStart"/>
      <w:r>
        <w:rPr>
          <w:rFonts w:asciiTheme="minorHAnsi" w:hAnsiTheme="minorHAnsi"/>
          <w:color w:val="000000" w:themeColor="text1"/>
        </w:rPr>
        <w:t>MultiHance</w:t>
      </w:r>
      <w:proofErr w:type="spellEnd"/>
    </w:p>
    <w:p w:rsidR="00186FCE" w:rsidRDefault="00186FCE" w:rsidP="00186FCE">
      <w:pPr>
        <w:ind w:left="360"/>
      </w:pPr>
    </w:p>
    <w:p w:rsidR="00E45C84" w:rsidRDefault="00E45C84" w:rsidP="00186FCE">
      <w:pPr>
        <w:ind w:left="360"/>
        <w:rPr>
          <w:b/>
          <w:bCs/>
        </w:rPr>
      </w:pPr>
    </w:p>
    <w:p w:rsidR="00E45C84" w:rsidRDefault="00E45C84" w:rsidP="00186FCE">
      <w:pPr>
        <w:ind w:left="360"/>
        <w:rPr>
          <w:b/>
          <w:bCs/>
        </w:rPr>
      </w:pPr>
    </w:p>
    <w:p w:rsidR="00186FCE" w:rsidRDefault="00186FCE" w:rsidP="00186FCE">
      <w:pPr>
        <w:ind w:left="360"/>
        <w:rPr>
          <w:b/>
          <w:bCs/>
        </w:rPr>
      </w:pPr>
      <w:r>
        <w:rPr>
          <w:b/>
          <w:bCs/>
        </w:rPr>
        <w:t>Additional guidelines:</w:t>
      </w:r>
    </w:p>
    <w:p w:rsidR="00186FCE" w:rsidRDefault="00186FCE" w:rsidP="00186FCE">
      <w:pPr>
        <w:ind w:left="360"/>
        <w:rPr>
          <w:b/>
          <w:bCs/>
        </w:rPr>
      </w:pPr>
    </w:p>
    <w:p w:rsidR="00186FCE" w:rsidRDefault="00186FCE" w:rsidP="003A17B3">
      <w:pPr>
        <w:ind w:left="360" w:firstLine="360"/>
      </w:pPr>
      <w:r>
        <w:t xml:space="preserve">These guidelines apply only to patients with chronic renal failure, and not to patients with acute kidney injury. No serum </w:t>
      </w:r>
      <w:proofErr w:type="spellStart"/>
      <w:r>
        <w:t>creatinine</w:t>
      </w:r>
      <w:proofErr w:type="spellEnd"/>
      <w:r>
        <w:t xml:space="preserve"> or eGFR threshold is adequate to stratify risk for patients with acute kidney injury because serum creatinine in this setting is unreliable. </w:t>
      </w:r>
      <w:bookmarkStart w:id="0" w:name="_GoBack"/>
      <w:bookmarkEnd w:id="0"/>
    </w:p>
    <w:p w:rsidR="00186FCE" w:rsidRDefault="00186FCE" w:rsidP="00186FCE">
      <w:pPr>
        <w:ind w:left="360"/>
      </w:pPr>
    </w:p>
    <w:p w:rsidR="00186FCE" w:rsidRDefault="00186FCE" w:rsidP="00186FCE">
      <w:pPr>
        <w:rPr>
          <w:color w:val="1F497D"/>
        </w:rPr>
      </w:pPr>
    </w:p>
    <w:p w:rsidR="00D97BBF" w:rsidRDefault="00D97BBF" w:rsidP="00D97BBF">
      <w:pPr>
        <w:spacing w:before="100" w:beforeAutospacing="1" w:after="100" w:afterAutospacing="1"/>
      </w:pPr>
      <w:r>
        <w:rPr>
          <w:color w:val="000000"/>
          <w:u w:val="single"/>
        </w:rPr>
        <w:t>Extravasation guidelines for MRI</w:t>
      </w:r>
    </w:p>
    <w:p w:rsidR="00D97BBF" w:rsidRDefault="00D97BBF" w:rsidP="00D97BBF">
      <w:pPr>
        <w:spacing w:before="100" w:beforeAutospacing="1" w:after="100" w:afterAutospacing="1"/>
      </w:pPr>
      <w:r>
        <w:t xml:space="preserve">Gadolinium based contrast </w:t>
      </w:r>
      <w:proofErr w:type="gramStart"/>
      <w:r>
        <w:t>agents(</w:t>
      </w:r>
      <w:proofErr w:type="gramEnd"/>
      <w:r>
        <w:t xml:space="preserve">GBCA) are less toxic to the skin and are typically administered at low volumes. Extravasation of GBCAs almost never leads to significant morbidity. Should extravasation occur, the technologist needs to document the </w:t>
      </w:r>
      <w:proofErr w:type="gramStart"/>
      <w:r>
        <w:t>extravasation.</w:t>
      </w:r>
      <w:proofErr w:type="gramEnd"/>
      <w:r>
        <w:t xml:space="preserve"> The radiologist does not need to be notified unless there is concern for </w:t>
      </w:r>
      <w:r>
        <w:rPr>
          <w:color w:val="000000"/>
        </w:rPr>
        <w:t>progressive</w:t>
      </w:r>
      <w:r>
        <w:t xml:space="preserve"> swelling</w:t>
      </w:r>
      <w:r>
        <w:rPr>
          <w:color w:val="000000"/>
        </w:rPr>
        <w:t xml:space="preserve"> or</w:t>
      </w:r>
      <w:r>
        <w:t xml:space="preserve"> pain, skin </w:t>
      </w:r>
      <w:r>
        <w:rPr>
          <w:color w:val="000000"/>
        </w:rPr>
        <w:t>breakdown or blistering</w:t>
      </w:r>
      <w:r>
        <w:t xml:space="preserve">, impairment of sensation and/or </w:t>
      </w:r>
      <w:r>
        <w:rPr>
          <w:color w:val="000000"/>
        </w:rPr>
        <w:t>altered perfusion.</w:t>
      </w:r>
    </w:p>
    <w:p w:rsidR="007932F1" w:rsidRDefault="007932F1"/>
    <w:sectPr w:rsidR="007932F1" w:rsidSect="001E0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3FBF"/>
    <w:multiLevelType w:val="hybridMultilevel"/>
    <w:tmpl w:val="CD62C1C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86FCE"/>
    <w:rsid w:val="00133B56"/>
    <w:rsid w:val="00186FCE"/>
    <w:rsid w:val="001E0B5F"/>
    <w:rsid w:val="00316A2B"/>
    <w:rsid w:val="003A17B3"/>
    <w:rsid w:val="003A4F6A"/>
    <w:rsid w:val="004451FF"/>
    <w:rsid w:val="004A5887"/>
    <w:rsid w:val="00651CAE"/>
    <w:rsid w:val="006C7624"/>
    <w:rsid w:val="007932F1"/>
    <w:rsid w:val="00AE0771"/>
    <w:rsid w:val="00C83F51"/>
    <w:rsid w:val="00D97BBF"/>
    <w:rsid w:val="00E45C84"/>
    <w:rsid w:val="00FE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F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FCE"/>
    <w:rPr>
      <w:color w:val="0000FF"/>
      <w:u w:val="single"/>
    </w:rPr>
  </w:style>
</w:styles>
</file>

<file path=word/webSettings.xml><?xml version="1.0" encoding="utf-8"?>
<w:webSettings xmlns:r="http://schemas.openxmlformats.org/officeDocument/2006/relationships" xmlns:w="http://schemas.openxmlformats.org/wordprocessingml/2006/main">
  <w:divs>
    <w:div w:id="535237880">
      <w:bodyDiv w:val="1"/>
      <w:marLeft w:val="0"/>
      <w:marRight w:val="0"/>
      <w:marTop w:val="0"/>
      <w:marBottom w:val="0"/>
      <w:divBdr>
        <w:top w:val="none" w:sz="0" w:space="0" w:color="auto"/>
        <w:left w:val="none" w:sz="0" w:space="0" w:color="auto"/>
        <w:bottom w:val="none" w:sz="0" w:space="0" w:color="auto"/>
        <w:right w:val="none" w:sz="0" w:space="0" w:color="auto"/>
      </w:divBdr>
    </w:div>
    <w:div w:id="707871888">
      <w:bodyDiv w:val="1"/>
      <w:marLeft w:val="0"/>
      <w:marRight w:val="0"/>
      <w:marTop w:val="0"/>
      <w:marBottom w:val="0"/>
      <w:divBdr>
        <w:top w:val="none" w:sz="0" w:space="0" w:color="auto"/>
        <w:left w:val="none" w:sz="0" w:space="0" w:color="auto"/>
        <w:bottom w:val="none" w:sz="0" w:space="0" w:color="auto"/>
        <w:right w:val="none" w:sz="0" w:space="0" w:color="auto"/>
      </w:divBdr>
    </w:div>
    <w:div w:id="996618005">
      <w:bodyDiv w:val="1"/>
      <w:marLeft w:val="0"/>
      <w:marRight w:val="0"/>
      <w:marTop w:val="0"/>
      <w:marBottom w:val="0"/>
      <w:divBdr>
        <w:top w:val="none" w:sz="0" w:space="0" w:color="auto"/>
        <w:left w:val="none" w:sz="0" w:space="0" w:color="auto"/>
        <w:bottom w:val="none" w:sz="0" w:space="0" w:color="auto"/>
        <w:right w:val="none" w:sz="0" w:space="0" w:color="auto"/>
      </w:divBdr>
    </w:div>
    <w:div w:id="10170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rd.com" TargetMode="External"/><Relationship Id="rId5" Type="http://schemas.openxmlformats.org/officeDocument/2006/relationships/hyperlink" Target="http://mdrd.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Health Systems</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Borislow, Steven</dc:creator>
  <cp:lastModifiedBy>borislos</cp:lastModifiedBy>
  <cp:revision>2</cp:revision>
  <dcterms:created xsi:type="dcterms:W3CDTF">2016-10-25T12:17:00Z</dcterms:created>
  <dcterms:modified xsi:type="dcterms:W3CDTF">2016-10-25T12:17:00Z</dcterms:modified>
</cp:coreProperties>
</file>